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Additions to the CCA Student Handbook - November 21, 2025 Board Meeting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NC Department of Public Instruction requires schools to submit specified documents throughout the school year through Epicenter. Feedback from a recent submission of the Student Handbook specified that the school should add the following statements to its Handbook Code of Conduct.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Board Policy 304 (CONDUCT, DISCIPLINE AND PROCEDURES ) North Carolina state law requires the school to follow specific rules and due process relating to serious disciplinary matters, the use of reasonable force, short- and long-term suspensions, and expulsions under Article 27 of Chapter 115C of the General Statutes. The schools will follow these rules in such instances.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Students with Disabilities: Individuals with Disabilities Education Act (IDEA)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Federal law requires schools to provide special education services to all students diagnosed with or suspected of having mental, physical, or emotional disabilities who are unable to benefit from a regular school program without special assistance. If your child or a child you know may qualify for such special assistance, please contact administration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Our school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considers any existing federal guidance for the discipline of students with disabilities as well as other guidance on school discipline practices issued by the United States Department of Education.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